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pPr>
      <w:r>
        <w:rPr/>
      </w:r>
    </w:p>
    <w:tbl>
      <w:tblPr>
        <w:tblW w:w="15388" w:type="dxa"/>
        <w:jc w:val="left"/>
        <w:tblInd w:w="113" w:type="dxa"/>
        <w:tblLayout w:type="fixed"/>
        <w:tblCellMar>
          <w:top w:w="0" w:type="dxa"/>
          <w:left w:w="108" w:type="dxa"/>
          <w:bottom w:w="0" w:type="dxa"/>
          <w:right w:w="108" w:type="dxa"/>
        </w:tblCellMar>
        <w:tblLook w:val="01e0" w:noHBand="0" w:noVBand="0" w:firstColumn="1" w:lastRow="1" w:lastColumn="1" w:firstRow="1"/>
      </w:tblPr>
      <w:tblGrid>
        <w:gridCol w:w="561"/>
        <w:gridCol w:w="1134"/>
        <w:gridCol w:w="1844"/>
        <w:gridCol w:w="7087"/>
        <w:gridCol w:w="3403"/>
        <w:gridCol w:w="1358"/>
      </w:tblGrid>
      <w:tr>
        <w:trPr/>
        <w:tc>
          <w:tcPr>
            <w:tcW w:w="15387" w:type="dxa"/>
            <w:gridSpan w:val="6"/>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120" w:after="120"/>
              <w:rPr>
                <w:rFonts w:ascii="Calibri" w:hAnsi="Calibri" w:cs="Calibri"/>
                <w:i/>
                <w:i/>
                <w:sz w:val="22"/>
                <w:szCs w:val="22"/>
              </w:rPr>
            </w:pPr>
            <w:r>
              <w:rPr>
                <w:rFonts w:cs="Calibri" w:ascii="Calibri" w:hAnsi="Calibri" w:asciiTheme="minorHAnsi" w:cstheme="minorHAnsi" w:hAnsiTheme="minorHAnsi"/>
                <w:b/>
                <w:i/>
                <w:sz w:val="22"/>
                <w:szCs w:val="22"/>
              </w:rPr>
              <w:t xml:space="preserve">Nazwa dokumentu: </w:t>
            </w:r>
            <w:r>
              <w:rPr>
                <w:rFonts w:cs="Calibri" w:ascii="Calibri" w:hAnsi="Calibri"/>
                <w:bCs/>
                <w:i/>
                <w:sz w:val="22"/>
                <w:szCs w:val="22"/>
              </w:rPr>
              <w:t>Opis założeń projektu informatycznego pn.</w:t>
            </w:r>
            <w:r>
              <w:rPr>
                <w:rFonts w:cs="Calibri" w:ascii="Calibri" w:hAnsi="Calibri"/>
                <w:b/>
                <w:i/>
                <w:sz w:val="22"/>
                <w:szCs w:val="22"/>
              </w:rPr>
              <w:t xml:space="preserve"> „</w:t>
            </w:r>
            <w:r>
              <w:rPr>
                <w:rFonts w:cs="Calibri" w:ascii="Calibri" w:hAnsi="Calibri"/>
                <w:b/>
                <w:bCs/>
                <w:i/>
                <w:sz w:val="22"/>
                <w:szCs w:val="22"/>
              </w:rPr>
              <w:t xml:space="preserve">Ocalone dziedzictwo odkryte na nowo. Zabezpieczenie, opracowanie i digitalizacja zbiorów Biblioteki Kórnickiej wpisanych na listy UNESCO oraz kontynuacja procesu cyfryzacji najcenniejszych kolekcji z zasobu” </w:t>
            </w:r>
            <w:r>
              <w:rPr>
                <w:rFonts w:cs="Calibri" w:ascii="Calibri" w:hAnsi="Calibri"/>
                <w:i/>
                <w:sz w:val="22"/>
                <w:szCs w:val="22"/>
              </w:rPr>
              <w:t xml:space="preserve">– wnioskodawca: Minister Nauki i Szkolnictwa Wyższego, beneficjent: Polska Akademia Nauk Biblioteka Kórnicka. </w:t>
            </w:r>
          </w:p>
          <w:p>
            <w:pPr>
              <w:pStyle w:val="Normal"/>
              <w:spacing w:before="120" w:after="120"/>
              <w:rPr>
                <w:rFonts w:ascii="Calibri" w:hAnsi="Calibri" w:cs="Calibri" w:asciiTheme="minorHAnsi" w:cstheme="minorHAnsi" w:hAnsiTheme="minorHAnsi"/>
                <w:bCs/>
                <w:iCs/>
                <w:sz w:val="22"/>
                <w:szCs w:val="22"/>
              </w:rPr>
            </w:pPr>
            <w:r>
              <w:rPr>
                <w:rFonts w:cs="Calibri" w:cstheme="minorHAnsi" w:ascii="Calibri" w:hAnsi="Calibri"/>
                <w:bCs/>
                <w:iCs/>
                <w:sz w:val="22"/>
                <w:szCs w:val="22"/>
              </w:rPr>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Lp.</w:t>
            </w:r>
          </w:p>
        </w:tc>
        <w:tc>
          <w:tcPr>
            <w:tcW w:w="113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Organ wnoszący uwagi</w:t>
            </w:r>
          </w:p>
        </w:tc>
        <w:tc>
          <w:tcPr>
            <w:tcW w:w="1844"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Jednostka redakcyjna, do której wnoszone są uwagi</w:t>
            </w:r>
          </w:p>
        </w:tc>
        <w:tc>
          <w:tcPr>
            <w:tcW w:w="7087"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Treść uwagi</w:t>
            </w:r>
          </w:p>
        </w:tc>
        <w:tc>
          <w:tcPr>
            <w:tcW w:w="340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Propozycja zmian zapisu</w:t>
            </w:r>
          </w:p>
        </w:tc>
        <w:tc>
          <w:tcPr>
            <w:tcW w:w="1358" w:type="dxa"/>
            <w:tcBorders>
              <w:top w:val="single" w:sz="4" w:space="0" w:color="000000"/>
              <w:left w:val="single" w:sz="4" w:space="0" w:color="000000"/>
              <w:bottom w:val="single" w:sz="4" w:space="0" w:color="000000"/>
              <w:right w:val="single" w:sz="4" w:space="0" w:color="000000"/>
            </w:tcBorders>
            <w:vAlign w:val="center"/>
          </w:tcPr>
          <w:p>
            <w:pPr>
              <w:pStyle w:val="Normal"/>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Odniesienie do uwagi</w:t>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1</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Uwaga ogólna</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Czy w ramach projektu - poza udostępnianiem plików prezentacyjnych wraz z metadanymi - planowane jest również przechowywanie kopii zapasowej w repozytorium KRONIK@? </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Jeśli tak, to proszę o podanie wolumenu w TB.</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Proszę o wyjaśnienie.</w:t>
            </w:r>
          </w:p>
        </w:tc>
        <w:tc>
          <w:tcPr>
            <w:tcW w:w="135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W ramach projektu nie jest przewidziane przechowywanie kopii zapasowej w repozytorium KRONIK@</w:t>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2</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2.1 Cele i korzyści wynikające z projektu</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Proszę rozważyć dodanie wskaźników:</w:t>
            </w:r>
          </w:p>
          <w:p>
            <w:pPr>
              <w:pStyle w:val="ListParagraph"/>
              <w:numPr>
                <w:ilvl w:val="0"/>
                <w:numId w:val="1"/>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Rozmiar udostępnionych on-line informacji sektora publicznego/danych prywatnych;</w:t>
            </w:r>
          </w:p>
          <w:p>
            <w:pPr>
              <w:pStyle w:val="ListParagraph"/>
              <w:numPr>
                <w:ilvl w:val="0"/>
                <w:numId w:val="1"/>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Rozmiar zdigitalizowanych informacji sektora publicznego/danych prywatnych.</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Proszę o korektę opisu założeń.</w:t>
            </w:r>
          </w:p>
        </w:tc>
        <w:tc>
          <w:tcPr>
            <w:tcW w:w="135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Uwaga uwzględniona.</w:t>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numPr>
                <w:ilvl w:val="0"/>
                <w:numId w:val="0"/>
              </w:numPr>
              <w:spacing w:before="75" w:after="0"/>
              <w:outlineLvl w:val="2"/>
              <w:rPr>
                <w:rFonts w:ascii="Calibri" w:hAnsi="Calibri" w:cs="Calibri" w:asciiTheme="minorHAnsi" w:cstheme="minorHAnsi" w:hAnsiTheme="minorHAnsi"/>
                <w:sz w:val="18"/>
                <w:szCs w:val="22"/>
              </w:rPr>
            </w:pPr>
            <w:r>
              <w:rPr>
                <w:rFonts w:cs="Calibri" w:cstheme="minorHAnsi" w:ascii="Calibri" w:hAnsi="Calibri"/>
                <w:sz w:val="18"/>
                <w:szCs w:val="22"/>
              </w:rPr>
              <w:t xml:space="preserve">Dodano wskaźnik </w:t>
            </w:r>
            <w:r>
              <w:rPr>
                <w:rFonts w:cs="Calibri" w:cstheme="minorHAnsi" w:ascii="Calibri" w:hAnsi="Calibri"/>
                <w:sz w:val="18"/>
                <w:szCs w:val="22"/>
              </w:rPr>
              <w:t>KPI 6A -</w:t>
            </w:r>
            <w:r>
              <w:rPr>
                <w:rFonts w:cs="Calibri" w:cstheme="minorHAnsi" w:ascii="Calibri" w:hAnsi="Calibri"/>
                <w:sz w:val="18"/>
                <w:szCs w:val="22"/>
              </w:rPr>
              <w:t xml:space="preserve"> Rozmiar zdigitalizowanych informacji sektora publicznego/danych prywatnych o wartości 10TB. </w:t>
            </w:r>
            <w:r>
              <w:rPr>
                <w:rFonts w:cs="Calibri" w:cstheme="minorHAnsi" w:ascii="Calibri" w:hAnsi="Calibri"/>
                <w:sz w:val="18"/>
                <w:szCs w:val="22"/>
              </w:rPr>
              <w:t>Wskaźnik wolumenu udostępnianych danych jest trudny do oszacowania ponieważ pliku udostępniane są dostosowane do przesyłania przez internet. Dlatego chociaż użytkownicy mają dostęp do wszystkich materiałów jednak ich wielkość będzie się różnić od znanej wielkości plików po digitalizacji.</w:t>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3</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2.1 Cele i korzyści wynikające z projektu</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Celu 1, w  KPI 3, liczbę użytkowników nowych i zmodyfikowanych publicznych usług, produktów i procesów cyfrowych określono w wartości bazowej na poziomie 1000 osób. Stoi to w sprzeczności z danymi zamieszczonymi w części 1.1 , w której obecna liczba użytkowników tych systemów określona jest na 7800.</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Proszę o wyjaśnienie lub korektę opisu założeń.</w:t>
            </w:r>
          </w:p>
        </w:tc>
        <w:tc>
          <w:tcPr>
            <w:tcW w:w="135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Uwaga uwzględniona.</w:t>
            </w:r>
          </w:p>
          <w:p>
            <w:pPr>
              <w:pStyle w:val="Normal"/>
              <w:numPr>
                <w:ilvl w:val="0"/>
                <w:numId w:val="0"/>
              </w:numPr>
              <w:spacing w:before="75" w:after="0"/>
              <w:outlineLvl w:val="2"/>
              <w:rPr>
                <w:rFonts w:ascii="Calibri" w:hAnsi="Calibri" w:cs="Calibri" w:asciiTheme="minorHAnsi" w:cstheme="minorHAnsi" w:hAnsiTheme="minorHAnsi"/>
                <w:sz w:val="18"/>
                <w:szCs w:val="22"/>
              </w:rPr>
            </w:pPr>
            <w:r>
              <w:rPr>
                <w:rFonts w:cs="Calibri" w:cstheme="minorHAnsi" w:ascii="Calibri" w:hAnsi="Calibri"/>
                <w:sz w:val="18"/>
                <w:szCs w:val="22"/>
              </w:rPr>
            </w:r>
          </w:p>
          <w:p>
            <w:pPr>
              <w:pStyle w:val="Normal"/>
              <w:numPr>
                <w:ilvl w:val="0"/>
                <w:numId w:val="0"/>
              </w:numPr>
              <w:spacing w:before="75" w:after="0"/>
              <w:outlineLvl w:val="2"/>
              <w:rPr>
                <w:rFonts w:ascii="Calibri" w:hAnsi="Calibri" w:cs="Calibri" w:asciiTheme="minorHAnsi" w:cstheme="minorHAnsi" w:hAnsiTheme="minorHAnsi"/>
                <w:sz w:val="18"/>
                <w:szCs w:val="22"/>
              </w:rPr>
            </w:pPr>
            <w:r>
              <w:rPr>
                <w:rFonts w:cs="Calibri" w:cstheme="minorHAnsi" w:ascii="Calibri" w:hAnsi="Calibri"/>
                <w:sz w:val="18"/>
                <w:szCs w:val="22"/>
              </w:rPr>
              <w:t>Skorygowano wartość aktualną KPI 3.</w:t>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4</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2.1 Cele i korzyści wynikające z projektu</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Celu 1 wykazano KPI 6, ale nie określono dla niego wartości aktualnej ani docelowej.</w:t>
            </w:r>
          </w:p>
          <w:p>
            <w:pPr>
              <w:pStyle w:val="Normal"/>
              <w:rPr>
                <w:rFonts w:ascii="Calibri" w:hAnsi="Calibri" w:cs="Calibri" w:asciiTheme="minorHAnsi" w:cstheme="minorHAnsi" w:hAnsiTheme="minorHAnsi"/>
                <w:sz w:val="10"/>
                <w:szCs w:val="10"/>
              </w:rPr>
            </w:pPr>
            <w:r>
              <w:rPr>
                <w:rFonts w:cs="Calibri" w:cstheme="minorHAnsi" w:ascii="Calibri" w:hAnsi="Calibri"/>
                <w:sz w:val="10"/>
                <w:szCs w:val="10"/>
              </w:rPr>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Dodatkowo wydaje się, że jeden ze wskaźników, KPI 5 lub KPI 6, jest wykazany nadmiarowo i powinien zostać usunięty. Beneficjent projektu może być określony jako podmiot </w:t>
            </w:r>
            <w:r>
              <w:rPr>
                <w:rFonts w:cs="Calibri" w:ascii="Calibri" w:hAnsi="Calibri" w:asciiTheme="minorHAnsi" w:cstheme="minorHAnsi" w:hAnsiTheme="minorHAnsi"/>
                <w:sz w:val="22"/>
                <w:szCs w:val="22"/>
                <w:u w:val="single"/>
              </w:rPr>
              <w:t>albo</w:t>
            </w:r>
            <w:r>
              <w:rPr>
                <w:rFonts w:cs="Calibri" w:ascii="Calibri" w:hAnsi="Calibri" w:asciiTheme="minorHAnsi" w:cstheme="minorHAnsi" w:hAnsiTheme="minorHAnsi"/>
                <w:sz w:val="22"/>
                <w:szCs w:val="22"/>
              </w:rPr>
              <w:t xml:space="preserve"> jako instytucja (zgodnie z charakterystyką wskaźników z FERC).  </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Proszę o korektę opisu założeń.</w:t>
            </w:r>
          </w:p>
        </w:tc>
        <w:tc>
          <w:tcPr>
            <w:tcW w:w="135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Uwaga uwzględniona.</w:t>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Usunięto KPI 6.</w:t>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5</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2.1 Cele i korzyści wynikające z projektu</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W Metodzie pomiaru dla KPI 2, przy opisie częstotliwości nie określono terminu osiągnięcia jego wartości docelowej. </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(„pomiar w dniu projektu” nie jest wskazaniem precyzyjnym – zapewne chodzi o ostatni dzień realizacji projektu, ale nie zostało to wskazane i wymaga doszczegółowienia).</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Proszę o korektę opisu założeń.</w:t>
            </w:r>
          </w:p>
        </w:tc>
        <w:tc>
          <w:tcPr>
            <w:tcW w:w="135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 xml:space="preserve">Uwaga uwzględniona. </w:t>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Skorygowano zapis.</w:t>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6</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2.1 Cele i korzyści wynikające z projektu</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W Metodzie pomiaru KPI 5 i KPI 6 (przy czym, zgodnie z uwagą nr 4 jeden z nich wydaje się nadmiarowy) jako źródło danych wskazano raporty projektowe. Proszę rozważyć czy nie należy powołać się raczej na podpisaną UoD i nie wykazać osiągnięcia tego KPI wcześniej niż w dniu zakończenia projektu.</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Proszę o korektę opisu założeń.</w:t>
            </w:r>
          </w:p>
        </w:tc>
        <w:tc>
          <w:tcPr>
            <w:tcW w:w="135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Uwaga uwzględniona.</w:t>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Pomiar zaplanowano w dniu podpisania Umowy o Dofinansowanie.</w:t>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7</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3. Kamienie milowe</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Proszę zweryfikować chronologię i układ kamieni milowych wyznaczonych w projekcie, szczególnie w odniesieniu do następujących pozycji:</w:t>
            </w:r>
          </w:p>
          <w:p>
            <w:pPr>
              <w:pStyle w:val="ListParagraph"/>
              <w:numPr>
                <w:ilvl w:val="0"/>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Powołanie Komitetu Sterującego zaplanowane jest na czwarty miesiąc realizacji projektu</w:t>
            </w:r>
          </w:p>
          <w:p>
            <w:pPr>
              <w:pStyle w:val="ListParagraph"/>
              <w:numPr>
                <w:ilvl w:val="0"/>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Udostępnienie pierwszych 5000 obiektów zaplanowano przed uruchomieniem pełnej wersji platformy, na której zbiory mają zostać udostępnione</w:t>
            </w:r>
          </w:p>
          <w:p>
            <w:pPr>
              <w:pStyle w:val="ListParagraph"/>
              <w:numPr>
                <w:ilvl w:val="0"/>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Rozmieszczenie kamieni milowych w zakresie digitalizacji wydaje się nieproporcjonalne. Digitalizacja pierwszych 5000 obiektów trwa 3 miesiące (licząc od daty osiągnięcia kamienia milowego „Przygotowano infrastrukturę do digitalizacji”). Kolejne 10000 obiektów digitalizowane jest przez 21 miesięcy. Ostatnia część 14050 obiektów digitalizowana jest przez 7 miesięcy. </w:t>
            </w:r>
          </w:p>
          <w:p>
            <w:pPr>
              <w:pStyle w:val="ListParagraph"/>
              <w:numPr>
                <w:ilvl w:val="0"/>
                <w:numId w:val="2"/>
              </w:numP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Konferencja prezentująca efekty projektu zaplanowana jest przed osiągnięciem planowanych efektów projektu.</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color w:val="00B050"/>
                <w:sz w:val="22"/>
                <w:szCs w:val="22"/>
              </w:rPr>
            </w:pPr>
            <w:r>
              <w:rPr>
                <w:rFonts w:cs="Calibri" w:ascii="Calibri" w:hAnsi="Calibri" w:asciiTheme="minorHAnsi" w:cstheme="minorHAnsi" w:hAnsiTheme="minorHAnsi"/>
                <w:sz w:val="22"/>
                <w:szCs w:val="22"/>
              </w:rPr>
              <w:t>Proszę o wyjaśnienie lub korektę opisu założeń.</w:t>
            </w:r>
          </w:p>
        </w:tc>
        <w:tc>
          <w:tcPr>
            <w:tcW w:w="135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Wyjaśnienia uwag poniżej.</w:t>
            </w:r>
          </w:p>
          <w:p>
            <w:pPr>
              <w:pStyle w:val="Normal"/>
              <w:numPr>
                <w:ilvl w:val="0"/>
                <w:numId w:val="0"/>
              </w:numPr>
              <w:spacing w:before="75" w:after="0"/>
              <w:outlineLvl w:val="2"/>
              <w:rPr>
                <w:rFonts w:ascii="Calibri" w:hAnsi="Calibri" w:cs="Calibri" w:asciiTheme="minorHAnsi" w:cstheme="minorHAnsi" w:hAnsiTheme="minorHAnsi"/>
                <w:sz w:val="18"/>
                <w:szCs w:val="22"/>
              </w:rPr>
            </w:pPr>
            <w:r>
              <w:rPr>
                <w:rFonts w:cs="Calibri" w:cstheme="minorHAnsi" w:ascii="Calibri" w:hAnsi="Calibri"/>
                <w:sz w:val="18"/>
                <w:szCs w:val="22"/>
              </w:rPr>
            </w:r>
          </w:p>
          <w:p>
            <w:pPr>
              <w:pStyle w:val="Normal"/>
              <w:numPr>
                <w:ilvl w:val="0"/>
                <w:numId w:val="0"/>
              </w:numPr>
              <w:spacing w:before="75" w:after="0"/>
              <w:outlineLvl w:val="2"/>
              <w:rPr>
                <w:rFonts w:ascii="Calibri" w:hAnsi="Calibri" w:cs="Calibri" w:asciiTheme="minorHAnsi" w:cstheme="minorHAnsi" w:hAnsiTheme="minorHAnsi"/>
                <w:sz w:val="18"/>
                <w:szCs w:val="22"/>
              </w:rPr>
            </w:pPr>
            <w:r>
              <w:rPr>
                <w:rFonts w:cs="Calibri" w:cstheme="minorHAnsi" w:ascii="Calibri" w:hAnsi="Calibri"/>
                <w:sz w:val="18"/>
                <w:szCs w:val="22"/>
              </w:rPr>
              <w:t>Powołanie Komitetu Sterującego w 4 miesiącu realizacji projektu wynika ze specyfiki kalendarza akademickiego na początku roku. Efektywnie zebranie KS może odbyć się nie później niż w tym terminie. Jednak jest to zdarzenie typu KM i termin należy traktować jako nieprzekraczalny, a powołanie może odbyć się wcześniej.</w:t>
            </w:r>
          </w:p>
          <w:p>
            <w:pPr>
              <w:pStyle w:val="Normal"/>
              <w:numPr>
                <w:ilvl w:val="0"/>
                <w:numId w:val="0"/>
              </w:numPr>
              <w:spacing w:before="75" w:after="0"/>
              <w:outlineLvl w:val="2"/>
              <w:rPr>
                <w:rFonts w:ascii="Calibri" w:hAnsi="Calibri" w:cs="Calibri" w:asciiTheme="minorHAnsi" w:cstheme="minorHAnsi" w:hAnsiTheme="minorHAnsi"/>
                <w:sz w:val="18"/>
                <w:szCs w:val="22"/>
              </w:rPr>
            </w:pPr>
            <w:r>
              <w:rPr>
                <w:rFonts w:cs="Calibri" w:cstheme="minorHAnsi" w:ascii="Calibri" w:hAnsi="Calibri"/>
                <w:sz w:val="18"/>
                <w:szCs w:val="22"/>
              </w:rPr>
            </w:r>
          </w:p>
          <w:p>
            <w:pPr>
              <w:pStyle w:val="Normal"/>
              <w:numPr>
                <w:ilvl w:val="0"/>
                <w:numId w:val="0"/>
              </w:numPr>
              <w:spacing w:before="75" w:after="0"/>
              <w:outlineLvl w:val="2"/>
              <w:rPr>
                <w:rFonts w:ascii="Calibri" w:hAnsi="Calibri" w:cs="Calibri" w:asciiTheme="minorHAnsi" w:cstheme="minorHAnsi" w:hAnsiTheme="minorHAnsi"/>
                <w:sz w:val="18"/>
                <w:szCs w:val="22"/>
              </w:rPr>
            </w:pPr>
            <w:r>
              <w:rPr>
                <w:rFonts w:cs="Calibri" w:cstheme="minorHAnsi" w:ascii="Calibri" w:hAnsi="Calibri"/>
                <w:sz w:val="18"/>
                <w:szCs w:val="22"/>
              </w:rPr>
              <w:t>Udostępnienie pierwszych 5000 obiektów jest zaplanowane w ramach obecnej wersji Platformy Cyfrowej PAN Biblioteka Kórnicka, która jest w ramach projektu modernizowana.</w:t>
            </w:r>
          </w:p>
          <w:p>
            <w:pPr>
              <w:pStyle w:val="Normal"/>
              <w:numPr>
                <w:ilvl w:val="0"/>
                <w:numId w:val="0"/>
              </w:numPr>
              <w:spacing w:before="75" w:after="0"/>
              <w:outlineLvl w:val="2"/>
              <w:rPr>
                <w:rFonts w:ascii="Calibri" w:hAnsi="Calibri" w:cs="Calibri" w:asciiTheme="minorHAnsi" w:cstheme="minorHAnsi" w:hAnsiTheme="minorHAnsi"/>
                <w:sz w:val="18"/>
                <w:szCs w:val="22"/>
              </w:rPr>
            </w:pPr>
            <w:r>
              <w:rPr>
                <w:rFonts w:cs="Calibri" w:cstheme="minorHAnsi" w:ascii="Calibri" w:hAnsi="Calibri"/>
                <w:sz w:val="18"/>
                <w:szCs w:val="22"/>
              </w:rPr>
            </w:r>
          </w:p>
          <w:p>
            <w:pPr>
              <w:pStyle w:val="Normal"/>
              <w:numPr>
                <w:ilvl w:val="0"/>
                <w:numId w:val="0"/>
              </w:numPr>
              <w:spacing w:before="75" w:after="0"/>
              <w:outlineLvl w:val="2"/>
              <w:rPr>
                <w:rFonts w:ascii="Calibri" w:hAnsi="Calibri" w:cs="Calibri" w:asciiTheme="minorHAnsi" w:cstheme="minorHAnsi" w:hAnsiTheme="minorHAnsi"/>
                <w:sz w:val="18"/>
                <w:szCs w:val="22"/>
              </w:rPr>
            </w:pPr>
            <w:r>
              <w:rPr>
                <w:rFonts w:cs="Calibri" w:cstheme="minorHAnsi" w:ascii="Calibri" w:hAnsi="Calibri"/>
                <w:sz w:val="18"/>
                <w:szCs w:val="22"/>
              </w:rPr>
              <w:t>Digitalizacja została zaplanowana z uwzględnieniem stanu materiałów – nie przebiega liniowo w czasie ponieważ niektóre materiały nie wymagają przygotowania do digitalizacji, a inne wymagają złożonych prac konserwatorskich. Dlatego w niektórych okresach widać szybki postęp w przyroście obiektów a w innych jest on znacznie wolniejszy.</w:t>
            </w:r>
          </w:p>
          <w:p>
            <w:pPr>
              <w:pStyle w:val="Normal"/>
              <w:numPr>
                <w:ilvl w:val="0"/>
                <w:numId w:val="0"/>
              </w:numPr>
              <w:spacing w:before="75" w:after="0"/>
              <w:outlineLvl w:val="2"/>
              <w:rPr>
                <w:rFonts w:ascii="Calibri" w:hAnsi="Calibri" w:cs="Calibri" w:asciiTheme="minorHAnsi" w:cstheme="minorHAnsi" w:hAnsiTheme="minorHAnsi"/>
                <w:sz w:val="18"/>
                <w:szCs w:val="22"/>
              </w:rPr>
            </w:pPr>
            <w:r>
              <w:rPr>
                <w:rFonts w:cs="Calibri" w:cstheme="minorHAnsi" w:ascii="Calibri" w:hAnsi="Calibri"/>
                <w:sz w:val="18"/>
                <w:szCs w:val="22"/>
              </w:rPr>
            </w:r>
          </w:p>
          <w:p>
            <w:pPr>
              <w:pStyle w:val="Normal"/>
              <w:numPr>
                <w:ilvl w:val="0"/>
                <w:numId w:val="0"/>
              </w:numPr>
              <w:spacing w:before="75" w:after="0"/>
              <w:outlineLvl w:val="2"/>
              <w:rPr>
                <w:rFonts w:ascii="Calibri" w:hAnsi="Calibri" w:cs="Calibri" w:asciiTheme="minorHAnsi" w:cstheme="minorHAnsi" w:hAnsiTheme="minorHAnsi"/>
                <w:sz w:val="18"/>
                <w:szCs w:val="22"/>
              </w:rPr>
            </w:pPr>
            <w:r>
              <w:rPr>
                <w:rFonts w:cs="Calibri" w:cstheme="minorHAnsi" w:ascii="Calibri" w:hAnsi="Calibri"/>
                <w:sz w:val="18"/>
                <w:szCs w:val="22"/>
              </w:rPr>
              <w:t xml:space="preserve">Konferencja promująca efekty projektu została zaplanowana zarówno jako podsumowanie oraz jako promocja projektu pod jego koniec. Zatem efekt promocyjny na 2 miesiące przed zakończeniem projektu jest istotny i pozwala jeszcze wzmocnić efekty projektu. Dodatkowo należy wskazać, że ostatnie 2 miesiące po konferencji mają już charakter weryfikacji efektów projektu, sporządzania dokumentacji i zamykania prac. </w:t>
            </w:r>
          </w:p>
          <w:p>
            <w:pPr>
              <w:pStyle w:val="Normal"/>
              <w:numPr>
                <w:ilvl w:val="0"/>
                <w:numId w:val="0"/>
              </w:numPr>
              <w:spacing w:before="75" w:after="0"/>
              <w:outlineLvl w:val="2"/>
              <w:rPr>
                <w:rFonts w:ascii="Calibri" w:hAnsi="Calibri" w:cs="Calibri" w:asciiTheme="minorHAnsi" w:cstheme="minorHAnsi" w:hAnsiTheme="minorHAnsi"/>
                <w:sz w:val="18"/>
                <w:szCs w:val="22"/>
              </w:rPr>
            </w:pPr>
            <w:r>
              <w:rPr>
                <w:rFonts w:cs="Calibri" w:cstheme="minorHAnsi" w:ascii="Calibri" w:hAnsi="Calibri"/>
                <w:sz w:val="18"/>
                <w:szCs w:val="22"/>
              </w:rPr>
              <w:t>Uwzględniono również specyfikę kalendarza akademickiego, organizacja konferencji w styczniu lub lutym jest istotnie utrudniona ze względu na niedostępność kadry naukowej.</w:t>
            </w:r>
          </w:p>
          <w:p>
            <w:pPr>
              <w:pStyle w:val="Normal"/>
              <w:numPr>
                <w:ilvl w:val="0"/>
                <w:numId w:val="0"/>
              </w:numPr>
              <w:spacing w:before="75" w:after="0"/>
              <w:outlineLvl w:val="2"/>
              <w:rPr>
                <w:rFonts w:ascii="Calibri" w:hAnsi="Calibri" w:cs="Calibri" w:asciiTheme="minorHAnsi" w:cstheme="minorHAnsi" w:hAnsiTheme="minorHAnsi"/>
                <w:sz w:val="18"/>
                <w:szCs w:val="22"/>
              </w:rPr>
            </w:pPr>
            <w:r>
              <w:rPr>
                <w:rFonts w:cs="Calibri" w:cstheme="minorHAnsi" w:ascii="Calibri" w:hAnsi="Calibri"/>
                <w:sz w:val="18"/>
                <w:szCs w:val="22"/>
              </w:rPr>
              <w:t>Dlatego termin w grudniu jest optymalny dla realizacji konferencji podsumowującej.</w:t>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8</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3. Kamienie milowe</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Data osiągnięcia kamienia milowego potwierdzającego uruchomienie pełnej wersji platformy nie jest zgodna z planowaną datą wdrożenia produktu „Rozbudowa systemu Platforma Cyfrowa PAN Biblioteka Kórnicka”, wskazaną w części 2.4.</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Proszę o korektę opisu założeń.</w:t>
            </w:r>
          </w:p>
        </w:tc>
        <w:tc>
          <w:tcPr>
            <w:tcW w:w="135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 xml:space="preserve">Uwaga uwzględniona. </w:t>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Kamień milowy, zakończenie prac rozbudowy oraz prac nad infrastrukturą teleinformatyczną zostaną zakończone w tym samym czasie.</w:t>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9</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3. Kamienie milowe</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 xml:space="preserve">Kamienie milowe jako ważne punkty kontrolne realizacji harmonogramu projektu powinny być wyznaczane w okresach maksymalnie półrocznych. </w:t>
            </w:r>
          </w:p>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Uwzględniając powyższe, proszę o wyznaczenie przynajmniej jednego dodatkowego kamienia milowego w okresie od 30.06.2027 do 30.03.2028, dzięki czemu możliwe będzie skuteczne monitorowanie postępu prac w projekcie.</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Proszę o korektę opisu założeń.</w:t>
            </w:r>
          </w:p>
        </w:tc>
        <w:tc>
          <w:tcPr>
            <w:tcW w:w="135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 xml:space="preserve">Uwaga uwzględniona. </w:t>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 xml:space="preserve">Dodano kamień milowy  Przeszkolono pracowników PAN Biblioteka Kórnicka w zakresie bezpieczeństwa IT oraz ochrony danych osobowych </w:t>
            </w:r>
            <w:r>
              <w:rPr>
                <w:rFonts w:cs="Calibri" w:cstheme="minorHAnsi" w:ascii="Calibri" w:hAnsi="Calibri"/>
                <w:sz w:val="22"/>
                <w:szCs w:val="22"/>
              </w:rPr>
              <w:t>w 2027-12-30.</w:t>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10</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5.1 Ryzyka wpływające na realizację projektu</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Proszę rozważyć uzupełnienie ryzyk o te związane z procesem digitalizacji.</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color w:val="00B050"/>
                <w:sz w:val="22"/>
                <w:szCs w:val="22"/>
              </w:rPr>
            </w:pPr>
            <w:r>
              <w:rPr>
                <w:rFonts w:cs="Calibri" w:ascii="Calibri" w:hAnsi="Calibri" w:asciiTheme="minorHAnsi" w:cstheme="minorHAnsi" w:hAnsiTheme="minorHAnsi"/>
                <w:sz w:val="22"/>
                <w:szCs w:val="22"/>
              </w:rPr>
              <w:t>Proszę o korektę opisu założeń.</w:t>
            </w:r>
          </w:p>
        </w:tc>
        <w:tc>
          <w:tcPr>
            <w:tcW w:w="135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 xml:space="preserve">Uwaga uwzględniona. </w:t>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Dodane ryzyko.</w:t>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11</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6. Otoczenie prawne</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Zgodnie z diagramem prezentowanym w części 7 przewidziana jest integracja z węzłem krajowym, natomiast w otoczeniu prawnym brak jest odniesień do obowiązujących aktów prawnych dotyczących tego zakresu.</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color w:val="FF0000"/>
                <w:sz w:val="22"/>
                <w:szCs w:val="22"/>
              </w:rPr>
            </w:pPr>
            <w:r>
              <w:rPr>
                <w:rFonts w:cs="Calibri" w:ascii="Calibri" w:hAnsi="Calibri" w:asciiTheme="minorHAnsi" w:cstheme="minorHAnsi" w:hAnsiTheme="minorHAnsi"/>
                <w:sz w:val="22"/>
                <w:szCs w:val="22"/>
              </w:rPr>
              <w:t>Proszę o korektę opisu założeń.</w:t>
            </w:r>
          </w:p>
        </w:tc>
        <w:tc>
          <w:tcPr>
            <w:tcW w:w="1358" w:type="dxa"/>
            <w:tcBorders>
              <w:top w:val="single" w:sz="4" w:space="0" w:color="000000"/>
              <w:left w:val="single" w:sz="4" w:space="0" w:color="000000"/>
              <w:bottom w:val="single" w:sz="4" w:space="0" w:color="000000"/>
              <w:right w:val="single" w:sz="4" w:space="0" w:color="000000"/>
            </w:tcBorders>
          </w:tcPr>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 xml:space="preserve">Uwaga uwzględniona. </w:t>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r>
          </w:p>
          <w:p>
            <w:pPr>
              <w:pStyle w:val="Normal"/>
              <w:numPr>
                <w:ilvl w:val="0"/>
                <w:numId w:val="0"/>
              </w:numPr>
              <w:spacing w:before="75" w:after="0"/>
              <w:outlineLvl w:val="2"/>
              <w:rPr>
                <w:rFonts w:ascii="Calibri" w:hAnsi="Calibri" w:cs="Calibri" w:asciiTheme="minorHAnsi" w:cstheme="minorHAnsi" w:hAnsiTheme="minorHAnsi"/>
                <w:sz w:val="22"/>
                <w:szCs w:val="22"/>
              </w:rPr>
            </w:pPr>
            <w:r>
              <w:rPr>
                <w:rFonts w:cs="Calibri" w:cstheme="minorHAnsi" w:ascii="Calibri" w:hAnsi="Calibri"/>
                <w:sz w:val="22"/>
                <w:szCs w:val="22"/>
              </w:rPr>
              <w:t>Ustawa z dnia 5 września 2016 r. o usługach zaufania oraz identyfikacji elektronicznej</w:t>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12</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6. Otoczenie prawne</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Brakuje odniesienia do aktów prawnych, na podstawie których funkcjonuje Wnioskodawca.</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color w:val="FF0000"/>
                <w:sz w:val="22"/>
                <w:szCs w:val="22"/>
              </w:rPr>
            </w:pPr>
            <w:r>
              <w:rPr>
                <w:rFonts w:cs="Calibri" w:ascii="Calibri" w:hAnsi="Calibri" w:asciiTheme="minorHAnsi" w:cstheme="minorHAnsi" w:hAnsiTheme="minorHAnsi"/>
                <w:sz w:val="22"/>
                <w:szCs w:val="22"/>
              </w:rPr>
              <w:t>Proszę o korektę opisu założeń</w:t>
            </w:r>
          </w:p>
        </w:tc>
        <w:tc>
          <w:tcPr>
            <w:tcW w:w="1358" w:type="dxa"/>
            <w:tcBorders>
              <w:top w:val="single" w:sz="4" w:space="0" w:color="000000"/>
              <w:left w:val="single" w:sz="4" w:space="0" w:color="000000"/>
              <w:bottom w:val="single" w:sz="4" w:space="0" w:color="000000"/>
              <w:right w:val="single" w:sz="4" w:space="0" w:color="000000"/>
            </w:tcBorders>
          </w:tcPr>
          <w:p>
            <w:pPr>
              <w:pStyle w:val="Heading2"/>
              <w:shd w:val="clear" w:color="auto" w:fill="FFFFFF"/>
              <w:spacing w:before="0" w:after="120"/>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t xml:space="preserve">Uwaga uwzględniona. </w:t>
            </w:r>
          </w:p>
          <w:p>
            <w:pPr>
              <w:pStyle w:val="Heading2"/>
              <w:shd w:val="clear" w:color="auto" w:fill="FFFFFF"/>
              <w:spacing w:before="0" w:after="120"/>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Heading2"/>
              <w:shd w:val="clear" w:color="auto" w:fill="FFFFFF"/>
              <w:spacing w:before="0" w:after="120"/>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t>Ustawa z dnia 30 kwietnia 2010 r. o Polskiej Akademii Nauk</w:t>
            </w:r>
          </w:p>
          <w:p>
            <w:pPr>
              <w:pStyle w:val="Normal"/>
              <w:jc w:val="center"/>
              <w:rPr>
                <w:rFonts w:ascii="Calibri" w:hAnsi="Calibri" w:cs="Calibri" w:asciiTheme="minorHAnsi" w:cstheme="minorHAnsi" w:hAnsiTheme="minorHAnsi"/>
                <w:sz w:val="22"/>
                <w:szCs w:val="22"/>
              </w:rPr>
            </w:pPr>
            <w:r>
              <w:rPr>
                <w:rFonts w:cs="Calibri" w:cstheme="minorHAnsi" w:ascii="Calibri" w:hAnsi="Calibri"/>
                <w:sz w:val="22"/>
                <w:szCs w:val="22"/>
              </w:rPr>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13</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color w:val="FF0000"/>
                <w:sz w:val="22"/>
                <w:szCs w:val="22"/>
              </w:rPr>
            </w:pPr>
            <w:r>
              <w:rPr>
                <w:rFonts w:cs="Calibri" w:ascii="Calibri" w:hAnsi="Calibri" w:asciiTheme="minorHAnsi" w:cstheme="minorHAnsi" w:hAnsiTheme="minorHAnsi"/>
                <w:sz w:val="22"/>
                <w:szCs w:val="22"/>
              </w:rPr>
              <w:t>6. Otoczenie prawne</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Brakuje odniesienia do aktów prawnych z zakresu prawa autorskiego.</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color w:val="FF0000"/>
                <w:sz w:val="22"/>
                <w:szCs w:val="22"/>
              </w:rPr>
            </w:pPr>
            <w:r>
              <w:rPr>
                <w:rFonts w:cs="Calibri" w:ascii="Calibri" w:hAnsi="Calibri" w:asciiTheme="minorHAnsi" w:cstheme="minorHAnsi" w:hAnsiTheme="minorHAnsi"/>
                <w:sz w:val="22"/>
                <w:szCs w:val="22"/>
              </w:rPr>
              <w:t>Proszę o korektę opisu założeń</w:t>
            </w:r>
          </w:p>
        </w:tc>
        <w:tc>
          <w:tcPr>
            <w:tcW w:w="1358" w:type="dxa"/>
            <w:tcBorders>
              <w:top w:val="single" w:sz="4" w:space="0" w:color="000000"/>
              <w:left w:val="single" w:sz="4" w:space="0" w:color="000000"/>
              <w:bottom w:val="single" w:sz="4" w:space="0" w:color="000000"/>
              <w:right w:val="single" w:sz="4" w:space="0" w:color="000000"/>
            </w:tcBorders>
          </w:tcPr>
          <w:p>
            <w:pPr>
              <w:pStyle w:val="Heading2"/>
              <w:widowControl/>
              <w:shd w:val="clear" w:color="auto" w:fill="FFFFFF"/>
              <w:bidi w:val="0"/>
              <w:spacing w:before="0" w:after="120"/>
              <w:jc w:val="left"/>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t xml:space="preserve">Uwaga uwzględniona. </w:t>
            </w:r>
          </w:p>
          <w:p>
            <w:pPr>
              <w:pStyle w:val="Heading2"/>
              <w:widowControl/>
              <w:shd w:val="clear" w:color="auto" w:fill="FFFFFF"/>
              <w:bidi w:val="0"/>
              <w:spacing w:before="0" w:after="120"/>
              <w:jc w:val="left"/>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Heading2"/>
              <w:widowControl/>
              <w:shd w:val="clear" w:color="auto" w:fill="FFFFFF"/>
              <w:bidi w:val="0"/>
              <w:spacing w:before="0" w:after="120"/>
              <w:jc w:val="left"/>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t>Ustawa z dnia 4 lutego 1994 r. o prawie autorskim i prawach pokrewnych (t.j. Dz.U. z 2022 r. poz. 2509 z późn. zm.); Dyrektywa Parlamentu Europejskiego i Rady (UE) 2019/790 oraz Konwencja berneńska o ochronie dzieł literackich i artystycznych.</w:t>
            </w:r>
          </w:p>
        </w:tc>
      </w:tr>
      <w:tr>
        <w:trPr/>
        <w:tc>
          <w:tcPr>
            <w:tcW w:w="561"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120" w:after="12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14</w:t>
            </w:r>
          </w:p>
        </w:tc>
        <w:tc>
          <w:tcPr>
            <w:tcW w:w="1134"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60" w:after="60"/>
              <w:jc w:val="center"/>
              <w:rPr>
                <w:rFonts w:ascii="Calibri" w:hAnsi="Calibri" w:cs="Calibri" w:asciiTheme="minorHAnsi" w:cstheme="minorHAnsi" w:hAnsiTheme="minorHAnsi"/>
                <w:b/>
                <w:sz w:val="22"/>
                <w:szCs w:val="22"/>
              </w:rPr>
            </w:pPr>
            <w:r>
              <w:rPr>
                <w:rFonts w:cs="Calibri" w:ascii="Calibri" w:hAnsi="Calibri" w:asciiTheme="minorHAnsi" w:cstheme="minorHAnsi" w:hAnsiTheme="minorHAnsi"/>
                <w:b/>
                <w:sz w:val="22"/>
                <w:szCs w:val="22"/>
              </w:rPr>
              <w:t>MC</w:t>
            </w:r>
          </w:p>
        </w:tc>
        <w:tc>
          <w:tcPr>
            <w:tcW w:w="1844"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color w:val="FF0000"/>
                <w:sz w:val="22"/>
                <w:szCs w:val="22"/>
              </w:rPr>
            </w:pPr>
            <w:r>
              <w:rPr>
                <w:rFonts w:cs="Calibri" w:ascii="Calibri" w:hAnsi="Calibri" w:asciiTheme="minorHAnsi" w:cstheme="minorHAnsi" w:hAnsiTheme="minorHAnsi"/>
                <w:sz w:val="22"/>
                <w:szCs w:val="22"/>
              </w:rPr>
              <w:t>7. Architektura</w:t>
            </w:r>
          </w:p>
        </w:tc>
        <w:tc>
          <w:tcPr>
            <w:tcW w:w="7087" w:type="dxa"/>
            <w:tcBorders>
              <w:top w:val="single" w:sz="4" w:space="0" w:color="000000"/>
              <w:left w:val="single" w:sz="4" w:space="0" w:color="000000"/>
              <w:bottom w:val="single" w:sz="4" w:space="0" w:color="000000"/>
              <w:right w:val="single" w:sz="4" w:space="0" w:color="000000"/>
            </w:tcBorders>
            <w:shd w:color="auto" w:fill="auto" w:val="clear"/>
          </w:tcPr>
          <w:p>
            <w:pPr>
              <w:pStyle w:val="Normal"/>
              <w:rPr>
                <w:rFonts w:ascii="Calibri" w:hAnsi="Calibri" w:cs="Calibri" w:asciiTheme="minorHAnsi" w:cstheme="minorHAnsi" w:hAnsiTheme="minorHAnsi"/>
                <w:sz w:val="22"/>
                <w:szCs w:val="22"/>
              </w:rPr>
            </w:pPr>
            <w:r>
              <w:rPr>
                <w:rFonts w:cs="Calibri" w:ascii="Calibri" w:hAnsi="Calibri" w:asciiTheme="minorHAnsi" w:cstheme="minorHAnsi" w:hAnsiTheme="minorHAnsi"/>
                <w:sz w:val="22"/>
                <w:szCs w:val="22"/>
              </w:rPr>
              <w:t>Proszę o wskazanie formatów plików wytwarzanych w ramach procesu digitalizacji oraz standardów metadanych.</w:t>
            </w:r>
          </w:p>
        </w:tc>
        <w:tc>
          <w:tcPr>
            <w:tcW w:w="3403"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center"/>
              <w:rPr>
                <w:rFonts w:ascii="Calibri" w:hAnsi="Calibri" w:cs="Calibri" w:asciiTheme="minorHAnsi" w:cstheme="minorHAnsi" w:hAnsiTheme="minorHAnsi"/>
                <w:color w:val="FF0000"/>
                <w:sz w:val="22"/>
                <w:szCs w:val="22"/>
              </w:rPr>
            </w:pPr>
            <w:r>
              <w:rPr>
                <w:rFonts w:cs="Calibri" w:ascii="Calibri" w:hAnsi="Calibri" w:asciiTheme="minorHAnsi" w:cstheme="minorHAnsi" w:hAnsiTheme="minorHAnsi"/>
                <w:sz w:val="22"/>
                <w:szCs w:val="22"/>
              </w:rPr>
              <w:t>Proszę o wyjaśnienie.</w:t>
            </w:r>
          </w:p>
        </w:tc>
        <w:tc>
          <w:tcPr>
            <w:tcW w:w="1358" w:type="dxa"/>
            <w:tcBorders>
              <w:top w:val="single" w:sz="4" w:space="0" w:color="000000"/>
              <w:left w:val="single" w:sz="4" w:space="0" w:color="000000"/>
              <w:bottom w:val="single" w:sz="4" w:space="0" w:color="000000"/>
              <w:right w:val="single" w:sz="4" w:space="0" w:color="000000"/>
            </w:tcBorders>
          </w:tcPr>
          <w:p>
            <w:pPr>
              <w:pStyle w:val="Heading2"/>
              <w:widowControl/>
              <w:shd w:val="clear" w:color="auto" w:fill="FFFFFF"/>
              <w:bidi w:val="0"/>
              <w:spacing w:before="0" w:after="120"/>
              <w:jc w:val="left"/>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t>Wyjaśnienie:</w:t>
            </w:r>
          </w:p>
          <w:p>
            <w:pPr>
              <w:pStyle w:val="Heading2"/>
              <w:widowControl/>
              <w:shd w:val="clear" w:color="auto" w:fill="FFFFFF"/>
              <w:bidi w:val="0"/>
              <w:spacing w:before="0" w:after="120"/>
              <w:jc w:val="left"/>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r>
          </w:p>
          <w:p>
            <w:pPr>
              <w:pStyle w:val="Heading2"/>
              <w:widowControl/>
              <w:shd w:val="clear" w:color="auto" w:fill="FFFFFF"/>
              <w:bidi w:val="0"/>
              <w:spacing w:before="0" w:after="120"/>
              <w:jc w:val="left"/>
              <w:rPr>
                <w:rFonts w:ascii="Calibri" w:hAnsi="Calibri" w:cs="Calibri" w:asciiTheme="minorHAnsi" w:cstheme="minorHAnsi" w:hAnsiTheme="minorHAnsi"/>
                <w:color w:val="000000"/>
                <w:sz w:val="22"/>
                <w:szCs w:val="22"/>
              </w:rPr>
            </w:pPr>
            <w:r>
              <w:rPr>
                <w:rFonts w:cs="Calibri" w:cstheme="minorHAnsi" w:ascii="Calibri" w:hAnsi="Calibri"/>
                <w:color w:val="000000"/>
                <w:sz w:val="22"/>
                <w:szCs w:val="22"/>
              </w:rPr>
              <w:t>Format plików: TIFF, PDF standard metadanychMARC 21</w:t>
            </w:r>
          </w:p>
        </w:tc>
      </w:tr>
    </w:tbl>
    <w:p>
      <w:pPr>
        <w:pStyle w:val="Normal"/>
        <w:jc w:val="center"/>
        <w:rPr/>
      </w:pPr>
      <w:r>
        <w:rPr/>
      </w:r>
    </w:p>
    <w:sectPr>
      <w:footerReference w:type="even" r:id="rId2"/>
      <w:footerReference w:type="default" r:id="rId3"/>
      <w:footerReference w:type="first" r:id="rId4"/>
      <w:type w:val="nextPage"/>
      <w:pgSz w:orient="landscape" w:w="16838" w:h="11906"/>
      <w:pgMar w:left="720" w:right="720" w:gutter="0" w:header="0" w:top="720" w:footer="709" w:bottom="766"/>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Calibri Light">
    <w:charset w:val="01"/>
    <w:family w:val="roman"/>
    <w:pitch w:val="variable"/>
  </w:font>
  <w:font w:name="Segoe UI">
    <w:charset w:val="01"/>
    <w:family w:val="swiss"/>
    <w:pitch w:val="variable"/>
  </w:font>
  <w:font w:name="Liberation Sans">
    <w:altName w:val="Arial"/>
    <w:charset w:val="01"/>
    <w:family w:val="swiss"/>
    <w:pitch w:val="variable"/>
  </w:font>
  <w:font w:name="Calibri">
    <w:charset w:val="01"/>
    <w:family w:val="roman"/>
    <w:pitch w:val="variable"/>
  </w:font>
  <w:font w:name="Calibri">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733440010"/>
    </w:sdtPr>
    <w:sdtContent>
      <w:p>
        <w:pPr>
          <w:pStyle w:val="Footer"/>
          <w:jc w:val="center"/>
          <w:rPr/>
        </w:pPr>
        <w:r>
          <w:rPr/>
          <w:fldChar w:fldCharType="begin"/>
        </w:r>
        <w:r>
          <w:rPr/>
          <w:instrText xml:space="preserve"> PAGE </w:instrText>
        </w:r>
        <w:r>
          <w:rPr/>
          <w:fldChar w:fldCharType="separate"/>
        </w:r>
        <w:r>
          <w:rPr/>
          <w:t>9</w:t>
        </w:r>
        <w:r>
          <w:rPr/>
          <w:fldChar w:fldCharType="end"/>
        </w:r>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733440010"/>
    </w:sdtPr>
    <w:sdtContent>
      <w:p>
        <w:pPr>
          <w:pStyle w:val="Footer"/>
          <w:jc w:val="center"/>
          <w:rPr/>
        </w:pPr>
        <w:r>
          <w:rPr/>
          <w:fldChar w:fldCharType="begin"/>
        </w:r>
        <w:r>
          <w:rPr/>
          <w:instrText xml:space="preserve"> PAGE </w:instrText>
        </w:r>
        <w:r>
          <w:rPr/>
          <w:fldChar w:fldCharType="separate"/>
        </w:r>
        <w:r>
          <w:rPr/>
          <w:t>9</w:t>
        </w:r>
        <w:r>
          <w:rPr/>
          <w:fldChar w:fldCharType="end"/>
        </w:r>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embedSystemFonts/>
  <w:defaultTabStop w:val="708"/>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suppressAutoHyphens w:val="true"/>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widowControl/>
      <w:bidi w:val="0"/>
      <w:spacing w:before="0" w:after="0"/>
      <w:jc w:val="left"/>
    </w:pPr>
    <w:rPr>
      <w:rFonts w:ascii="Times New Roman" w:hAnsi="Times New Roman" w:eastAsia="Times New Roman" w:cs="Times New Roman"/>
      <w:color w:val="auto"/>
      <w:kern w:val="0"/>
      <w:sz w:val="24"/>
      <w:szCs w:val="24"/>
      <w:lang w:val="pl-PL" w:eastAsia="pl-PL" w:bidi="ar-SA"/>
    </w:rPr>
  </w:style>
  <w:style w:type="paragraph" w:styleId="Heading2">
    <w:name w:val="heading 2"/>
    <w:basedOn w:val="Normal"/>
    <w:next w:val="Normal"/>
    <w:link w:val="Nagwek2Znak"/>
    <w:semiHidden/>
    <w:unhideWhenUsed/>
    <w:qFormat/>
    <w:rsid w:val="00bc4f14"/>
    <w:pPr>
      <w:keepNext w:val="true"/>
      <w:keepLines/>
      <w:spacing w:before="40" w:after="0"/>
      <w:outlineLvl w:val="1"/>
    </w:pPr>
    <w:rPr>
      <w:rFonts w:ascii="Calibri Light" w:hAnsi="Calibri Light" w:eastAsia="" w:cs="" w:asciiTheme="majorHAnsi" w:cstheme="majorBidi" w:eastAsiaTheme="majorEastAsia" w:hAnsiTheme="majorHAnsi"/>
      <w:color w:themeColor="accent1" w:themeShade="bf" w:val="2E74B5"/>
      <w:sz w:val="26"/>
      <w:szCs w:val="26"/>
    </w:rPr>
  </w:style>
  <w:style w:type="paragraph" w:styleId="Heading3">
    <w:name w:val="heading 3"/>
    <w:basedOn w:val="Normal"/>
    <w:link w:val="Nagwek3Znak"/>
    <w:uiPriority w:val="9"/>
    <w:qFormat/>
    <w:rsid w:val="00cf7349"/>
    <w:pPr>
      <w:spacing w:beforeAutospacing="1" w:afterAutospacing="1"/>
      <w:outlineLvl w:val="2"/>
    </w:pPr>
    <w:rPr>
      <w:b/>
      <w:bCs/>
      <w:sz w:val="27"/>
      <w:szCs w:val="27"/>
    </w:rPr>
  </w:style>
  <w:style w:type="character" w:styleId="DefaultParagraphFont" w:default="1">
    <w:name w:val="Default Paragraph Font"/>
    <w:uiPriority w:val="1"/>
    <w:semiHidden/>
    <w:unhideWhenUsed/>
    <w:qFormat/>
    <w:rPr/>
  </w:style>
  <w:style w:type="character" w:styleId="TekstdymkaZnak" w:customStyle="1">
    <w:name w:val="Tekst dymka Znak"/>
    <w:basedOn w:val="DefaultParagraphFont"/>
    <w:link w:val="BalloonText"/>
    <w:qFormat/>
    <w:rsid w:val="00a06425"/>
    <w:rPr>
      <w:rFonts w:ascii="Segoe UI" w:hAnsi="Segoe UI" w:cs="Segoe UI"/>
      <w:sz w:val="18"/>
      <w:szCs w:val="18"/>
    </w:rPr>
  </w:style>
  <w:style w:type="character" w:styleId="NagwekZnak" w:customStyle="1">
    <w:name w:val="Nagłówek Znak"/>
    <w:basedOn w:val="DefaultParagraphFont"/>
    <w:link w:val="Header"/>
    <w:qFormat/>
    <w:rsid w:val="00424c52"/>
    <w:rPr>
      <w:sz w:val="24"/>
      <w:szCs w:val="24"/>
    </w:rPr>
  </w:style>
  <w:style w:type="character" w:styleId="StopkaZnak" w:customStyle="1">
    <w:name w:val="Stopka Znak"/>
    <w:basedOn w:val="DefaultParagraphFont"/>
    <w:link w:val="Footer"/>
    <w:uiPriority w:val="99"/>
    <w:qFormat/>
    <w:rsid w:val="00424c52"/>
    <w:rPr>
      <w:sz w:val="24"/>
      <w:szCs w:val="24"/>
    </w:rPr>
  </w:style>
  <w:style w:type="character" w:styleId="Nagwek3Znak" w:customStyle="1">
    <w:name w:val="Nagłówek 3 Znak"/>
    <w:basedOn w:val="DefaultParagraphFont"/>
    <w:link w:val="Heading3"/>
    <w:uiPriority w:val="9"/>
    <w:qFormat/>
    <w:rsid w:val="00cf7349"/>
    <w:rPr>
      <w:b/>
      <w:bCs/>
      <w:sz w:val="27"/>
      <w:szCs w:val="27"/>
    </w:rPr>
  </w:style>
  <w:style w:type="character" w:styleId="Nagwek2Znak" w:customStyle="1">
    <w:name w:val="Nagłówek 2 Znak"/>
    <w:basedOn w:val="DefaultParagraphFont"/>
    <w:link w:val="Heading2"/>
    <w:semiHidden/>
    <w:qFormat/>
    <w:rsid w:val="00bc4f14"/>
    <w:rPr>
      <w:rFonts w:ascii="Calibri Light" w:hAnsi="Calibri Light" w:eastAsia="" w:cs="" w:asciiTheme="majorHAnsi" w:cstheme="majorBidi" w:eastAsiaTheme="majorEastAsia" w:hAnsiTheme="majorHAnsi"/>
      <w:color w:themeColor="accent1" w:themeShade="bf" w:val="2E74B5"/>
      <w:sz w:val="26"/>
      <w:szCs w:val="26"/>
    </w:rPr>
  </w:style>
  <w:style w:type="paragraph" w:styleId="Heading">
    <w:name w:val="Heading"/>
    <w:basedOn w:val="Normal"/>
    <w:next w:val="BodyText"/>
    <w:qFormat/>
    <w:pPr>
      <w:keepNext w:val="true"/>
      <w:spacing w:before="240" w:after="120"/>
    </w:pPr>
    <w:rPr>
      <w:rFonts w:ascii="Liberation Sans" w:hAnsi="Liberation Sans" w:eastAsia="Noto Sans CJK SC"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Index">
    <w:name w:val="Index"/>
    <w:basedOn w:val="Normal"/>
    <w:qFormat/>
    <w:pPr>
      <w:suppressLineNumbers/>
    </w:pPr>
    <w:rPr>
      <w:rFonts w:cs="Noto Sans"/>
    </w:rPr>
  </w:style>
  <w:style w:type="paragraph" w:styleId="BalloonText">
    <w:name w:val="Balloon Text"/>
    <w:basedOn w:val="Normal"/>
    <w:link w:val="TekstdymkaZnak"/>
    <w:qFormat/>
    <w:rsid w:val="00a06425"/>
    <w:pPr/>
    <w:rPr>
      <w:rFonts w:ascii="Segoe UI" w:hAnsi="Segoe UI" w:cs="Segoe UI"/>
      <w:sz w:val="18"/>
      <w:szCs w:val="18"/>
    </w:rPr>
  </w:style>
  <w:style w:type="paragraph" w:styleId="ListParagraph">
    <w:name w:val="List Paragraph"/>
    <w:basedOn w:val="Normal"/>
    <w:uiPriority w:val="34"/>
    <w:qFormat/>
    <w:rsid w:val="006961f9"/>
    <w:pPr>
      <w:spacing w:before="0" w:after="0"/>
      <w:ind w:left="720"/>
      <w:contextualSpacing/>
    </w:pPr>
    <w:rPr/>
  </w:style>
  <w:style w:type="paragraph" w:styleId="HeaderandFooter">
    <w:name w:val="Header and Footer"/>
    <w:basedOn w:val="Normal"/>
    <w:qFormat/>
    <w:pPr/>
    <w:rPr/>
  </w:style>
  <w:style w:type="paragraph" w:styleId="Header">
    <w:name w:val="header"/>
    <w:basedOn w:val="Normal"/>
    <w:link w:val="NagwekZnak"/>
    <w:rsid w:val="00424c52"/>
    <w:pPr>
      <w:tabs>
        <w:tab w:val="clear" w:pos="708"/>
        <w:tab w:val="center" w:pos="4536" w:leader="none"/>
        <w:tab w:val="right" w:pos="9072" w:leader="none"/>
      </w:tabs>
    </w:pPr>
    <w:rPr/>
  </w:style>
  <w:style w:type="paragraph" w:styleId="Footer">
    <w:name w:val="footer"/>
    <w:basedOn w:val="Normal"/>
    <w:link w:val="StopkaZnak"/>
    <w:uiPriority w:val="99"/>
    <w:rsid w:val="00424c52"/>
    <w:pPr>
      <w:tabs>
        <w:tab w:val="clear" w:pos="708"/>
        <w:tab w:val="center" w:pos="4536" w:leader="none"/>
        <w:tab w:val="right" w:pos="9072" w:leader="none"/>
      </w:tabs>
    </w:pPr>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styleId="Tabela-Siatka">
    <w:name w:val="Table Grid"/>
    <w:basedOn w:val="Standardowy"/>
    <w:rsid w:val="00c64b1b"/>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Motyw pakietu Office">
  <a:themeElements>
    <a:clrScheme name="Pakiet 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90</TotalTime>
  <Application>LibreOffice/25.2.2.2$Linux_X86_64 LibreOffice_project/7370d4be9e3cf6031a51beef54ff3bda878e3fac</Application>
  <AppVersion>15.0000</AppVersion>
  <Pages>9</Pages>
  <Words>1105</Words>
  <Characters>7008</Characters>
  <CharactersWithSpaces>8007</CharactersWithSpaces>
  <Paragraphs>120</Paragraphs>
  <Company>MSWIA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2025-04-08T08:07:00Z</dcterms:created>
  <dc:creator>BAF</dc:creator>
  <dc:description/>
  <dc:language>en-DK</dc:language>
  <cp:lastModifiedBy>Michał Przymusiński</cp:lastModifiedBy>
  <dcterms:modified xsi:type="dcterms:W3CDTF">2025-04-10T11:13:31Z</dcterms:modified>
  <cp:revision>21</cp:revision>
  <dc:subject/>
  <dc:title/>
</cp:coreProperties>
</file>

<file path=docProps/custom.xml><?xml version="1.0" encoding="utf-8"?>
<Properties xmlns="http://schemas.openxmlformats.org/officeDocument/2006/custom-properties" xmlns:vt="http://schemas.openxmlformats.org/officeDocument/2006/docPropsVTypes"/>
</file>